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627D75" w:rsidRPr="00737FF2" w:rsidTr="0085017D">
        <w:trPr>
          <w:trHeight w:val="465"/>
        </w:trPr>
        <w:tc>
          <w:tcPr>
            <w:tcW w:w="9464" w:type="dxa"/>
            <w:shd w:val="clear" w:color="auto" w:fill="FDE9D9"/>
          </w:tcPr>
          <w:p w:rsidR="00627D75" w:rsidRPr="00737FF2" w:rsidRDefault="002715B4" w:rsidP="002715B4">
            <w:pPr>
              <w:pStyle w:val="Nzev"/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737FF2">
              <w:rPr>
                <w:rFonts w:ascii="Arial" w:hAnsi="Arial" w:cs="Arial"/>
                <w:sz w:val="20"/>
                <w:szCs w:val="20"/>
                <w:lang w:val="cs-CZ"/>
              </w:rPr>
              <w:t>Technické podmínky</w:t>
            </w:r>
          </w:p>
        </w:tc>
      </w:tr>
    </w:tbl>
    <w:p w:rsidR="00737FF2" w:rsidRPr="00737FF2" w:rsidRDefault="00737FF2" w:rsidP="007E6FEB">
      <w:pPr>
        <w:tabs>
          <w:tab w:val="left" w:pos="993"/>
        </w:tabs>
        <w:spacing w:before="24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4703B" w:rsidRPr="00737FF2" w:rsidRDefault="0034703B" w:rsidP="00737FF2">
      <w:pPr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>„II/343  Krejcar – most ev. č. 343-017“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bCs/>
          <w:sz w:val="20"/>
          <w:szCs w:val="20"/>
          <w:lang w:eastAsia="cs-CZ"/>
        </w:rPr>
        <w:t>Předmětem plnění je: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 xml:space="preserve">Geodetické zaměření předmětného území (výškopisné a polohopisné zaměření) v potřebném rozsahu rekonstrukce mostu 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 xml:space="preserve">Vypracování inženýrsko-geologického průzkumu mostu včetně návrhu technického řešení 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Vypracování projektové dokumentace pro povolení záměru (DPZ)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Zajištění všech povolení potřebných k vlastní realizaci kompletních stavebních prací a zajištění kladných vyjádření a stanovisek všech dotčených orgánů pro podání řádných žádostí o vydání stavebního povolení k příslušnému stavebnímu úřadu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Zajištění povolení záměru (PZ)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Vypracování projektové dokumentace pro provádění stavby (PDPS) včetně oceněného a neoceněného soupisu prací</w:t>
      </w:r>
    </w:p>
    <w:p w:rsidR="00737FF2" w:rsidRPr="00737FF2" w:rsidRDefault="00737FF2" w:rsidP="00737FF2">
      <w:pPr>
        <w:pStyle w:val="Odstavecseseznamem"/>
        <w:numPr>
          <w:ilvl w:val="0"/>
          <w:numId w:val="22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Výkon dozoru projektanta při realizaci stavby</w:t>
      </w:r>
    </w:p>
    <w:p w:rsidR="00737FF2" w:rsidRPr="00737FF2" w:rsidRDefault="00737FF2" w:rsidP="00737FF2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spacing w:after="12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Předmětem projekčních prací je projektová dokumentace nového mostu a nezbytné úpravy vozovky silnice II/343 před obcí Krejcar, okres Žďár nad Sázavou, kraj Vysočina.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Stávající most ev. č. 343-017 se nachází v km 32,978 provozního staničení a převádí silnici II/343 přes místní potok. Most je </w:t>
      </w:r>
      <w:proofErr w:type="spellStart"/>
      <w:r w:rsidRPr="00737FF2">
        <w:rPr>
          <w:rFonts w:ascii="Arial" w:hAnsi="Arial" w:cs="Arial"/>
          <w:sz w:val="20"/>
          <w:szCs w:val="20"/>
        </w:rPr>
        <w:t>jednopolový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Základy mostu jsou nepřístupné, pravděpodobně plošné.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Mostní opěry a křídla jsou zděné z řádkového kamene, mostní křídla jsou rovnoběžná. Na povrchu mostních opěr jsou vodorovné a svislé trhliny a vypadává spárovací malta. </w:t>
      </w:r>
      <w:proofErr w:type="spellStart"/>
      <w:r w:rsidRPr="00737FF2">
        <w:rPr>
          <w:rFonts w:ascii="Arial" w:hAnsi="Arial" w:cs="Arial"/>
          <w:sz w:val="20"/>
          <w:szCs w:val="20"/>
        </w:rPr>
        <w:t>Kamené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zdivo křídel má všesměrné trhliny ve spárách.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Nosnou konstrukci tvoří monolitická železobetonová deska, na spodním povrchu nosné konstrukce jsou odpadlé krycí vrstvy s obnaženou a korodující ocelovou výztuží.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Na mostě se nachází cizí zařízení - bod státní nivelace na pravé straně na římse u OP2 a na levé straně mostu podél římsy je umístěna ocelová chránička vedení.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Vozovka na mostě je převrstvena, římsy </w:t>
      </w:r>
      <w:proofErr w:type="spellStart"/>
      <w:r w:rsidRPr="00737FF2">
        <w:rPr>
          <w:rFonts w:ascii="Arial" w:hAnsi="Arial" w:cs="Arial"/>
          <w:sz w:val="20"/>
          <w:szCs w:val="20"/>
        </w:rPr>
        <w:t>jseu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degradovány, dokonce odpadávají kusy betonu, konstrukce zábradlí neodpovídá současným požadavkům.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Investor na základě zpracovaného základního diagnostického průzkumu se rozhodl pro variantu nového mostu.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Stav spodní stavby mostu se jeví jako </w:t>
      </w:r>
      <w:r w:rsidRPr="00737FF2">
        <w:rPr>
          <w:rFonts w:ascii="Arial" w:hAnsi="Arial" w:cs="Arial"/>
          <w:b/>
          <w:sz w:val="20"/>
          <w:szCs w:val="20"/>
        </w:rPr>
        <w:t>špatný – stupeň V.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Stav nosné konstrukce mostu je </w:t>
      </w:r>
      <w:r w:rsidRPr="00737FF2">
        <w:rPr>
          <w:rFonts w:ascii="Arial" w:hAnsi="Arial" w:cs="Arial"/>
          <w:b/>
          <w:sz w:val="20"/>
          <w:szCs w:val="20"/>
        </w:rPr>
        <w:t>uspokojivý – stupeň IV.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Zadavatel předpokládá, že stavební realizace bude probíhat za uzavřeného silničního provozu. Předpokládaná doba realizace stavebních prací – rok 2027.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PD bude řešena jako stavební objekt – </w:t>
      </w:r>
      <w:r w:rsidRPr="00737FF2">
        <w:rPr>
          <w:rFonts w:ascii="Arial" w:hAnsi="Arial" w:cs="Arial"/>
          <w:i/>
          <w:sz w:val="20"/>
          <w:szCs w:val="20"/>
        </w:rPr>
        <w:t xml:space="preserve">„II/343 Krejcar - most ev. č. 343-017“. </w:t>
      </w:r>
      <w:r w:rsidRPr="00737FF2">
        <w:rPr>
          <w:rFonts w:ascii="Arial" w:hAnsi="Arial" w:cs="Arial"/>
          <w:sz w:val="20"/>
          <w:szCs w:val="20"/>
        </w:rPr>
        <w:t xml:space="preserve">Plánovaný objekt se bude týkat pozemků </w:t>
      </w:r>
      <w:proofErr w:type="spellStart"/>
      <w:r w:rsidRPr="00737FF2">
        <w:rPr>
          <w:rFonts w:ascii="Arial" w:hAnsi="Arial" w:cs="Arial"/>
          <w:sz w:val="20"/>
          <w:szCs w:val="20"/>
        </w:rPr>
        <w:t>parc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č. 739 – vlastník Lesy ČR, </w:t>
      </w:r>
      <w:proofErr w:type="spellStart"/>
      <w:r w:rsidRPr="00737FF2">
        <w:rPr>
          <w:rFonts w:ascii="Arial" w:hAnsi="Arial" w:cs="Arial"/>
          <w:sz w:val="20"/>
          <w:szCs w:val="20"/>
        </w:rPr>
        <w:t>parc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č. 732/1 - vlastník ÚZSVM, </w:t>
      </w:r>
      <w:proofErr w:type="spellStart"/>
      <w:r w:rsidRPr="00737FF2">
        <w:rPr>
          <w:rFonts w:ascii="Arial" w:hAnsi="Arial" w:cs="Arial"/>
          <w:sz w:val="20"/>
          <w:szCs w:val="20"/>
        </w:rPr>
        <w:t>parc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č. 685 - </w:t>
      </w:r>
      <w:proofErr w:type="spellStart"/>
      <w:r w:rsidRPr="00737FF2">
        <w:rPr>
          <w:rFonts w:ascii="Arial" w:hAnsi="Arial" w:cs="Arial"/>
          <w:sz w:val="20"/>
          <w:szCs w:val="20"/>
        </w:rPr>
        <w:t>soukr.vlastník</w:t>
      </w:r>
      <w:proofErr w:type="spellEnd"/>
      <w:r w:rsidRPr="00737FF2">
        <w:rPr>
          <w:rFonts w:ascii="Arial" w:hAnsi="Arial" w:cs="Arial"/>
          <w:sz w:val="20"/>
          <w:szCs w:val="20"/>
        </w:rPr>
        <w:t>, vše v 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k.ú</w:t>
      </w:r>
      <w:proofErr w:type="spellEnd"/>
      <w:r w:rsidRPr="00737FF2">
        <w:rPr>
          <w:rFonts w:ascii="Arial" w:hAnsi="Arial" w:cs="Arial"/>
          <w:sz w:val="20"/>
          <w:szCs w:val="20"/>
        </w:rPr>
        <w:t>.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Chlumětín a </w:t>
      </w:r>
      <w:proofErr w:type="spellStart"/>
      <w:r w:rsidRPr="00737FF2">
        <w:rPr>
          <w:rFonts w:ascii="Arial" w:hAnsi="Arial" w:cs="Arial"/>
          <w:sz w:val="20"/>
          <w:szCs w:val="20"/>
        </w:rPr>
        <w:t>parc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č. 726/4 - vlastník Kraj Vysočina, </w:t>
      </w:r>
      <w:proofErr w:type="spellStart"/>
      <w:r w:rsidRPr="00737FF2">
        <w:rPr>
          <w:rFonts w:ascii="Arial" w:hAnsi="Arial" w:cs="Arial"/>
          <w:sz w:val="20"/>
          <w:szCs w:val="20"/>
        </w:rPr>
        <w:t>parc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. č. 723 a 721/3 - </w:t>
      </w:r>
      <w:proofErr w:type="spellStart"/>
      <w:r w:rsidRPr="00737FF2">
        <w:rPr>
          <w:rFonts w:ascii="Arial" w:hAnsi="Arial" w:cs="Arial"/>
          <w:sz w:val="20"/>
          <w:szCs w:val="20"/>
        </w:rPr>
        <w:t>soukr.vlastník</w:t>
      </w:r>
      <w:proofErr w:type="spellEnd"/>
      <w:r w:rsidRPr="00737FF2">
        <w:rPr>
          <w:rFonts w:ascii="Arial" w:hAnsi="Arial" w:cs="Arial"/>
          <w:sz w:val="20"/>
          <w:szCs w:val="20"/>
        </w:rPr>
        <w:t>, vše v 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k.ú</w:t>
      </w:r>
      <w:proofErr w:type="spellEnd"/>
      <w:r w:rsidRPr="00737FF2">
        <w:rPr>
          <w:rFonts w:ascii="Arial" w:hAnsi="Arial" w:cs="Arial"/>
          <w:sz w:val="20"/>
          <w:szCs w:val="20"/>
        </w:rPr>
        <w:t>.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Svratka.</w:t>
      </w:r>
    </w:p>
    <w:p w:rsidR="00737FF2" w:rsidRPr="00737FF2" w:rsidRDefault="00737FF2" w:rsidP="00737FF2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Projektové dokumentace v jednotlivých stupních budou vypracovány v rozsahu daném platnými předpisy v době zpracování a předání dokončeného předmětu plnění.</w:t>
      </w: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>Technické podmínky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37FF2">
        <w:rPr>
          <w:rFonts w:ascii="Arial" w:hAnsi="Arial" w:cs="Arial"/>
          <w:b/>
          <w:sz w:val="20"/>
          <w:szCs w:val="20"/>
        </w:rPr>
        <w:lastRenderedPageBreak/>
        <w:t>Vypracování dokumentace pro povolení záměru v souladu s § 157 odst. (2) Stavebního zákona 283/2021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</w:t>
      </w:r>
      <w:proofErr w:type="gramStart"/>
      <w:r w:rsidRPr="00737FF2">
        <w:rPr>
          <w:rFonts w:ascii="Arial" w:hAnsi="Arial" w:cs="Arial"/>
          <w:sz w:val="20"/>
          <w:szCs w:val="20"/>
        </w:rPr>
        <w:t>č.j.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</w:t>
      </w:r>
      <w:proofErr w:type="gramStart"/>
      <w:r w:rsidRPr="00737FF2">
        <w:rPr>
          <w:rFonts w:ascii="Arial" w:hAnsi="Arial" w:cs="Arial"/>
          <w:sz w:val="20"/>
          <w:szCs w:val="20"/>
        </w:rPr>
        <w:t>zákon,  Zákonem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č. 152/2023 Sb., kterým se mění zákon č. 283/2021 Sb., stavební zákon, ve znění zákona č. 195/2022 Sb., a některé další související zákony.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737FF2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737FF2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737FF2">
        <w:rPr>
          <w:rFonts w:ascii="Arial" w:hAnsi="Arial" w:cs="Arial"/>
          <w:sz w:val="20"/>
          <w:szCs w:val="20"/>
        </w:rPr>
        <w:t>Sb.Nařízení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737FF2">
        <w:rPr>
          <w:rFonts w:ascii="Arial" w:hAnsi="Arial" w:cs="Arial"/>
          <w:sz w:val="20"/>
          <w:szCs w:val="20"/>
        </w:rPr>
        <w:t>Sb.,vše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Vlastní návrh technického řešení rekonstrukce mostu bude proveden na základě IGP. Návrh bude projednaný na vstupním výrobním výboru. Součástí dokumentace bude řešení případných přeložek inženýrských sítí a úprava konstrukce silnice v daném rozsahu.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Geodetické zaměření předmětného území (výškopisné a polohopisné zaměření) v potřebném rozsahu rekonstrukce mostu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Podrobný inženýrskogeologický, geotechnický a hydrogeologický průzkum daného území (pokud bude pro zpracování PD a vydání příslušných stanovisek a povolení nutné)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Zákres stavby do aktuální katastrální mapy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Vytyčovací výkres stavby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Situace v měřítku min. 1:500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Zásady organizace výstavby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 Definitivní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dopravní značení včetně příslušných projednání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Statický výpočet, hydrotechnický výpočet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Návrh kácení stromů včetně vyznačení v situaci, dendrologický průzkum (pokud bude pro zpracování PD a vydání příslušných stanovisek a povolení nutné), zajištění povolení ke kácení stromů je věcí zadavatele. V případě, že příslušný správní orgán povolí kácení dřevin dle PD, je nutné zjistit, zda se v dutinách stromů nenachází zvláště chráněné druhy živočichů – zejména netopýři, sovy či dřevokazní brouci (v tomto případě bude nutno zhotovitelem PD zažádat o výjimku z ochrany zvláště chráněných druhů na odboru životního prostředí Krajského úřadu Kraje Vysočina).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Záborový elaborát s tabulkou dotčených pozemků pro dočasný a trvalý zábor a zákres do katastrální mapy včetně sousedních pozemků.</w:t>
      </w:r>
    </w:p>
    <w:p w:rsidR="00737FF2" w:rsidRPr="00737FF2" w:rsidRDefault="00737FF2" w:rsidP="00737FF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Zajištění souhlasu s vynětím pozemků trvale dotčených stavbou silnice ze ZPF a PUPFL včetně zpracování Pedologického průzkumu</w:t>
      </w:r>
    </w:p>
    <w:p w:rsidR="00737FF2" w:rsidRPr="00737FF2" w:rsidRDefault="00737FF2" w:rsidP="00737FF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Zajištění biologického průzkumu v případě zjištění chráněných živočichů</w:t>
      </w:r>
    </w:p>
    <w:p w:rsidR="00737FF2" w:rsidRPr="00737FF2" w:rsidRDefault="00737FF2" w:rsidP="00737FF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Zajištění souhlasu s dočasným vynětím pozemků dočasného záboru ze ZPF</w:t>
      </w:r>
    </w:p>
    <w:p w:rsidR="00737FF2" w:rsidRPr="00737FF2" w:rsidRDefault="00737FF2" w:rsidP="00737FF2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0"/>
        <w:ind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Součinnost zhotovitele při jednáních s vlastníky dotčených pozemků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567" w:hanging="425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Odhad stavebních nákladů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 Prověření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průběhu inženýrských sítí, přeložky inženýrských sítí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proofErr w:type="gramStart"/>
      <w:r w:rsidRPr="00737FF2">
        <w:rPr>
          <w:rFonts w:ascii="Arial" w:hAnsi="Arial" w:cs="Arial"/>
          <w:sz w:val="20"/>
          <w:szCs w:val="20"/>
        </w:rPr>
        <w:lastRenderedPageBreak/>
        <w:t>-      Vyřešení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nakládání s odpady dle Zákona č. 541/2020 Sb. a dle nové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Vyhlášky č.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      283/2023 Sb. - Vyhláška o stanovení podmínek, při jejichž splnění jsou znovuzískaná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      asfaltová směs a znovuzískaný penetrační makadam vedlejším produktem nebo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      přestávají být odpadem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-     Projektant se zavazuje prostřednictvím zadavatele stavby k předání veškerých podkladů a informací určenému koordinátorovi BOZP, kterým je fyzická nebo právnická osoba určená zadavatelem stavby k provádění stanovených činností při přípravě stavby pro jeho činnost, zejména pro zpracování plánu bezpečnosti a ochrany zdraví při práci na staveništi (dále jen „plán“), včetně informace o fyzických osobách, které se mohou s jeho vědomím zdržovat na staveništi, poskytovat mu potřebnou </w:t>
      </w:r>
      <w:proofErr w:type="gramStart"/>
      <w:r w:rsidRPr="00737FF2">
        <w:rPr>
          <w:rFonts w:ascii="Arial" w:hAnsi="Arial" w:cs="Arial"/>
          <w:sz w:val="20"/>
          <w:szCs w:val="20"/>
        </w:rPr>
        <w:t>součinnost  po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celou dobu přípravy stavby v souladu s odst. (4) § 14 Zákona č. 309/2006 Sb. -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v souladu se Zákonem č. 318/2025 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737FF2">
        <w:rPr>
          <w:rFonts w:ascii="Arial" w:hAnsi="Arial" w:cs="Arial"/>
          <w:sz w:val="20"/>
          <w:szCs w:val="20"/>
        </w:rPr>
        <w:t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Nařízení vlády č. 319/2025 Sb., Nařízením vlády, kterým se mění nařízení vlády č. 591/2006 Sb., o bližších minimálních požadavcích na bezpečnost a ochranu zdraví při práci na staveništích, ve znění nařízení vlády č. 136/2016 Sb., a další související zákony.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142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Dopravně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inženýrská opatření (DIO) po dobu provádění stavebních prací, návrh objízdných tras, vč. příslušných projednání. Svislé dopravní značení pro dopravní opatření (zřízení a odstranění) bude navrženo dle TP 66 pro provizorní dopravní značení a bude projednáno s Policií ČR a doloženo souhlasným stanoviskem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737FF2">
        <w:rPr>
          <w:rFonts w:ascii="Arial" w:hAnsi="Arial" w:cs="Arial"/>
          <w:sz w:val="20"/>
          <w:szCs w:val="20"/>
        </w:rPr>
        <w:t>-     Zajištění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projednání, potřebných kladných vyjádření a souhlasných stanovisek všech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  orgánů státní správy a samosprávy, organizací a správců dotčených inženýrských sítí pro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  vydání stavebního záměru, vč. případného následného zapracování změn do projektové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  dokumentace</w:t>
      </w:r>
    </w:p>
    <w:p w:rsidR="00737FF2" w:rsidRPr="00737FF2" w:rsidRDefault="00737FF2" w:rsidP="00737FF2">
      <w:pPr>
        <w:numPr>
          <w:ilvl w:val="0"/>
          <w:numId w:val="21"/>
        </w:numPr>
        <w:spacing w:after="120"/>
        <w:ind w:left="567" w:hanging="425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Podání žádosti o povolení stavebního záměru, zajištění vydání PZ včetně potřebné inženýrské činnosti (např. dořešení změn PD v průběhu SŘ), získání doložky nabytí právní moci PZ </w:t>
      </w:r>
    </w:p>
    <w:p w:rsidR="00737FF2" w:rsidRPr="00737FF2" w:rsidRDefault="00737FF2" w:rsidP="00737FF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Majetkoprávní příprava, včetně zajištění příslušných smluv není součástí předmětu plnění a bude realizována zadavatelem. Zhotovitel zajistí pouze souhlasy dotčených vlastníků pozemků na situační výkres stavby v souladu s §184, odst.2, 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písm.c</w:t>
      </w:r>
      <w:proofErr w:type="spellEnd"/>
      <w:r w:rsidRPr="00737FF2">
        <w:rPr>
          <w:rFonts w:ascii="Arial" w:hAnsi="Arial" w:cs="Arial"/>
          <w:sz w:val="20"/>
          <w:szCs w:val="20"/>
        </w:rPr>
        <w:t>) a §187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zákona 283/2021 </w:t>
      </w:r>
      <w:proofErr w:type="spellStart"/>
      <w:r w:rsidRPr="00737FF2">
        <w:rPr>
          <w:rFonts w:ascii="Arial" w:hAnsi="Arial" w:cs="Arial"/>
          <w:sz w:val="20"/>
          <w:szCs w:val="20"/>
        </w:rPr>
        <w:t>Sb</w:t>
      </w:r>
      <w:proofErr w:type="spellEnd"/>
      <w:r w:rsidRPr="00737FF2">
        <w:rPr>
          <w:rFonts w:ascii="Arial" w:hAnsi="Arial" w:cs="Arial"/>
          <w:sz w:val="20"/>
          <w:szCs w:val="20"/>
        </w:rPr>
        <w:t>, Stavební zákon, v platném znění, s účinností od 1. 1. 2024. Zhotovitel je však dále povinen spolupracovat se zadavatelem při jednání s vlastníky, tj. písemně informovat vlastníky dotčených pozemků o záměru realizovat stavbu, odpovídat na případné otázky vlastníků dotčených pozemků týkajících se technických záležitostí stavby a svolat výrobní výbor za účasti vlastníků dotčených pozemků, zástupců zadavatele a zástupců obcí,  v jejímž katastru se bude záměr realizovat.</w:t>
      </w:r>
    </w:p>
    <w:p w:rsidR="00737FF2" w:rsidRPr="00737FF2" w:rsidRDefault="00737FF2" w:rsidP="00737FF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Dokumentace bude projednána na výrobních výborech (minimálně 2x) za účasti všech orgánů, organizací a vlastníků pozemků, dotčených touto stavbou. Před dokončením a odevzdáním každého stupně projektové dokumentace (tj. DPZ a PDPS) budou svolány tzv. </w:t>
      </w:r>
      <w:proofErr w:type="spellStart"/>
      <w:r w:rsidRPr="00737FF2">
        <w:rPr>
          <w:rFonts w:ascii="Arial" w:hAnsi="Arial" w:cs="Arial"/>
          <w:sz w:val="20"/>
          <w:szCs w:val="20"/>
        </w:rPr>
        <w:t>technicko-dokumentační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komise (TDK) za účasti všech orgánů, organizací a vlastníků pozemků, dotčených touto stavbou. Zadavateli bude zhotovitelem v dostatečném </w:t>
      </w:r>
      <w:proofErr w:type="gramStart"/>
      <w:r w:rsidRPr="00737FF2">
        <w:rPr>
          <w:rFonts w:ascii="Arial" w:hAnsi="Arial" w:cs="Arial"/>
          <w:sz w:val="20"/>
          <w:szCs w:val="20"/>
        </w:rPr>
        <w:t>předstihu   (7 dní</w:t>
      </w:r>
      <w:proofErr w:type="gramEnd"/>
      <w:r w:rsidRPr="00737FF2">
        <w:rPr>
          <w:rFonts w:ascii="Arial" w:hAnsi="Arial" w:cs="Arial"/>
          <w:sz w:val="20"/>
          <w:szCs w:val="20"/>
        </w:rPr>
        <w:t>) zaslána projektová dokumentace jako podklad pro TDK. Výrobní výbory a TDK svolává a zápis vyhotovuje zhotovitel projektové dokumentace.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 definitivním odsouhlasení zadavatelem bude následně projektová dokumentace ve stupni pro vydání stavebního záměru (DPZ) a projektová dokumentace pro provedení stavby (PDPS) předána zadavateli v tištěné podobě a na CD (v plném rozsahu tištěné podoby) v následujícím počtu: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DPZ - 2x v tištěné podobě, vč. dokladové části ve všech </w:t>
      </w:r>
      <w:proofErr w:type="spellStart"/>
      <w:r w:rsidRPr="00737FF2">
        <w:rPr>
          <w:rFonts w:ascii="Arial" w:hAnsi="Arial" w:cs="Arial"/>
          <w:sz w:val="20"/>
          <w:szCs w:val="20"/>
        </w:rPr>
        <w:t>paré</w:t>
      </w:r>
      <w:proofErr w:type="spellEnd"/>
      <w:r w:rsidRPr="00737FF2">
        <w:rPr>
          <w:rFonts w:ascii="Arial" w:hAnsi="Arial" w:cs="Arial"/>
          <w:sz w:val="20"/>
          <w:szCs w:val="20"/>
        </w:rPr>
        <w:t>, 1x v digitální v </w:t>
      </w:r>
      <w:proofErr w:type="gramStart"/>
      <w:r w:rsidRPr="00737FF2">
        <w:rPr>
          <w:rFonts w:ascii="Arial" w:hAnsi="Arial" w:cs="Arial"/>
          <w:sz w:val="20"/>
          <w:szCs w:val="20"/>
        </w:rPr>
        <w:t>otevřeném  formátu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*.</w:t>
      </w:r>
      <w:proofErr w:type="spellStart"/>
      <w:r w:rsidRPr="00737FF2">
        <w:rPr>
          <w:rFonts w:ascii="Arial" w:hAnsi="Arial" w:cs="Arial"/>
          <w:sz w:val="20"/>
          <w:szCs w:val="20"/>
        </w:rPr>
        <w:t>dwg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a *.doc(x) *.</w:t>
      </w:r>
      <w:proofErr w:type="spellStart"/>
      <w:r w:rsidRPr="00737FF2">
        <w:rPr>
          <w:rFonts w:ascii="Arial" w:hAnsi="Arial" w:cs="Arial"/>
          <w:sz w:val="20"/>
          <w:szCs w:val="20"/>
        </w:rPr>
        <w:t>xls</w:t>
      </w:r>
      <w:proofErr w:type="spellEnd"/>
      <w:r w:rsidRPr="00737FF2">
        <w:rPr>
          <w:rFonts w:ascii="Arial" w:hAnsi="Arial" w:cs="Arial"/>
          <w:sz w:val="20"/>
          <w:szCs w:val="20"/>
        </w:rPr>
        <w:t>(x) a v uzavřeném formátu *.</w:t>
      </w:r>
      <w:proofErr w:type="spellStart"/>
      <w:r w:rsidRPr="00737FF2">
        <w:rPr>
          <w:rFonts w:ascii="Arial" w:hAnsi="Arial" w:cs="Arial"/>
          <w:sz w:val="20"/>
          <w:szCs w:val="20"/>
        </w:rPr>
        <w:t>pdf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Geodetické zaměření bude předáno v digitální podobě na CD ve formátu *.</w:t>
      </w:r>
      <w:proofErr w:type="spellStart"/>
      <w:r w:rsidRPr="00737FF2">
        <w:rPr>
          <w:rFonts w:ascii="Arial" w:hAnsi="Arial" w:cs="Arial"/>
          <w:sz w:val="20"/>
          <w:szCs w:val="20"/>
        </w:rPr>
        <w:t>dwg</w:t>
      </w:r>
      <w:proofErr w:type="spellEnd"/>
      <w:r w:rsidRPr="00737FF2">
        <w:rPr>
          <w:rFonts w:ascii="Arial" w:hAnsi="Arial" w:cs="Arial"/>
          <w:sz w:val="20"/>
          <w:szCs w:val="20"/>
        </w:rPr>
        <w:t>, resp. *.</w:t>
      </w:r>
      <w:proofErr w:type="spellStart"/>
      <w:r w:rsidRPr="00737FF2">
        <w:rPr>
          <w:rFonts w:ascii="Arial" w:hAnsi="Arial" w:cs="Arial"/>
          <w:sz w:val="20"/>
          <w:szCs w:val="20"/>
        </w:rPr>
        <w:t>dgn</w:t>
      </w:r>
      <w:proofErr w:type="spellEnd"/>
      <w:r w:rsidRPr="00737FF2">
        <w:rPr>
          <w:rFonts w:ascii="Arial" w:hAnsi="Arial" w:cs="Arial"/>
          <w:sz w:val="20"/>
          <w:szCs w:val="20"/>
        </w:rPr>
        <w:t>, případně bude odevzdána vytyčovací síť stavby a vytyčovací body ve formátu *.doc, nebo *.</w:t>
      </w:r>
      <w:proofErr w:type="spellStart"/>
      <w:r w:rsidRPr="00737FF2">
        <w:rPr>
          <w:rFonts w:ascii="Arial" w:hAnsi="Arial" w:cs="Arial"/>
          <w:sz w:val="20"/>
          <w:szCs w:val="20"/>
        </w:rPr>
        <w:t>xls</w:t>
      </w:r>
      <w:proofErr w:type="spellEnd"/>
      <w:r w:rsidRPr="00737FF2">
        <w:rPr>
          <w:rFonts w:ascii="Arial" w:hAnsi="Arial" w:cs="Arial"/>
          <w:sz w:val="20"/>
          <w:szCs w:val="20"/>
        </w:rPr>
        <w:t>(x).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37FF2">
        <w:rPr>
          <w:rFonts w:ascii="Arial" w:hAnsi="Arial" w:cs="Arial"/>
          <w:b/>
          <w:sz w:val="20"/>
          <w:szCs w:val="20"/>
        </w:rPr>
        <w:t>Vypracování dokumentace pro provádění stavby</w:t>
      </w: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Rozsah a obsah dokumentace je stanoven Směrnicí pro dokumentaci staveb pozemních komunikací, schválené Ministerstvem dopravy, Odborem pozemních komunikací, č. j. MD-45948/2025-940/2, v srpnu 2025, s účinností od 15. 8. 2025, se současným zrušením Směrnice pro dokumentaci staveb PK schválené Ministerstvem dopravy, Odborem liniových staveb a silničního správního úřadu </w:t>
      </w:r>
      <w:proofErr w:type="gramStart"/>
      <w:r w:rsidRPr="00737FF2">
        <w:rPr>
          <w:rFonts w:ascii="Arial" w:hAnsi="Arial" w:cs="Arial"/>
          <w:sz w:val="20"/>
          <w:szCs w:val="20"/>
        </w:rPr>
        <w:t>č.j.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MD-23142ú2022-930ú2, ze dne 12. 7. 2022, s výjimkou kapitol souvisejících s aplikací přechodných ustanovení zákona č. 283/2021 Sb., jejichž účinnost končí ke dni 30. 6. 2027, Zákonem č. 283/2021 Sb. - Stavební zákon nahrazeno, Zákonem č. 284/2021 Sb. - Zákon, kterým se mění některé zákony v souvislosti s přijetím stavebního zákona, Zákonem č. 195/2022 Sb., kterým se mění zákon č. 283/2021 Sb. - stavební </w:t>
      </w:r>
      <w:proofErr w:type="gramStart"/>
      <w:r w:rsidRPr="00737FF2">
        <w:rPr>
          <w:rFonts w:ascii="Arial" w:hAnsi="Arial" w:cs="Arial"/>
          <w:sz w:val="20"/>
          <w:szCs w:val="20"/>
        </w:rPr>
        <w:t>zákon,  Zákonem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č. 152/2023 Sb., kterým se mění zákon č. 283/2021 Sb., stavební zákon, ve znění zákona č. 195/2022 Sb., a některé další související zákony.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Novou vyhláškou č. 227/2024 Sb. - o rozsahu a obsahu projektové dokumentace staveb dopravní infrastruktury.</w:t>
      </w:r>
      <w:r w:rsidRPr="00737FF2">
        <w:rPr>
          <w:rFonts w:ascii="Arial" w:hAnsi="Arial" w:cs="Arial"/>
          <w:sz w:val="20"/>
          <w:szCs w:val="20"/>
        </w:rPr>
        <w:t xml:space="preserve"> Vyhláškou č. 405/2017 Sb. Vyhláškou č. 169/2016 Sb., o stanovení rozsahu dokumentace veřejné zakázky na stavební práce a soupisu stavebních prací, dodávek a služeb s výkazem výměr. Zákon č. 541/2020 Sb. - Zákon o odpadech. TP 210 Užití recyklovaných staveních demoličních materiálů do pozemních komunikací schválené Ministerstvem dopravy, Odborem liniových staveb a silničního správního úřadu pod č. j. MD-43101/2023-930/2 ze dne 19. 12. 2023 s účinností od 1. 1. 2024 z 12/2023 a Technické kvalitativní podmínky staveb pozemních komunikací, Kapitola 1 Všeobecně, Změna č. 2,  schváleno Ministerstvem dopravy, Odborem pozemních komunikací pod č. j. MD-45948/2025-940/3 v srpnu 2025 s účinností od 15. 8. 2025, Zákon č. 318/2025 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Sb.Zákon</w:t>
      </w:r>
      <w:proofErr w:type="spellEnd"/>
      <w:proofErr w:type="gramEnd"/>
      <w:r w:rsidRPr="00737FF2">
        <w:rPr>
          <w:rFonts w:ascii="Arial" w:hAnsi="Arial" w:cs="Arial"/>
          <w:sz w:val="20"/>
          <w:szCs w:val="20"/>
        </w:rPr>
        <w:t xml:space="preserve">, kterým se mění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další související zákony, Nařízení vlády č. 319/2025 </w:t>
      </w:r>
      <w:proofErr w:type="spellStart"/>
      <w:r w:rsidRPr="00737FF2">
        <w:rPr>
          <w:rFonts w:ascii="Arial" w:hAnsi="Arial" w:cs="Arial"/>
          <w:sz w:val="20"/>
          <w:szCs w:val="20"/>
        </w:rPr>
        <w:t>Sb.Nařízení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vlády, kterým se mění nařízení vlády č. 591/2006 Sb., o bližších minimálních požadavcích na bezpečnost a ochranu zdraví při práci na staveništích, ve znění nařízení vlády č. 136/2016 </w:t>
      </w:r>
      <w:proofErr w:type="spellStart"/>
      <w:r w:rsidRPr="00737FF2">
        <w:rPr>
          <w:rFonts w:ascii="Arial" w:hAnsi="Arial" w:cs="Arial"/>
          <w:sz w:val="20"/>
          <w:szCs w:val="20"/>
        </w:rPr>
        <w:t>Sb.,vše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 platném znění a bude obsahovat :</w:t>
      </w:r>
    </w:p>
    <w:p w:rsidR="00737FF2" w:rsidRPr="00737FF2" w:rsidRDefault="00737FF2" w:rsidP="00737FF2">
      <w:pPr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Návrh rekonstrukce stávajícího mostu v souladu se zpracovanou DPZ.</w:t>
      </w:r>
      <w:r w:rsidRPr="00737FF2">
        <w:rPr>
          <w:rFonts w:ascii="Arial" w:hAnsi="Arial" w:cs="Arial"/>
          <w:sz w:val="20"/>
          <w:szCs w:val="20"/>
        </w:rPr>
        <w:t xml:space="preserve">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Součástí dokumentace bude řešení případných přeložek inženýrských sítí a úprava konstrukce silnice v daném rozsahu.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Vytyčovací výkres stavby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Definitivní dopravní značení včetně příslušných projednání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Katastrální a koordinační situace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Zásady organizace výstavby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proofErr w:type="gramStart"/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-   </w:t>
      </w:r>
      <w:r w:rsidRPr="00737FF2">
        <w:rPr>
          <w:rFonts w:ascii="Arial" w:hAnsi="Arial" w:cs="Arial"/>
          <w:sz w:val="20"/>
          <w:szCs w:val="20"/>
        </w:rPr>
        <w:t xml:space="preserve">   Výkaz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výměr s bilancí zemních prací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37FF2">
        <w:rPr>
          <w:rFonts w:ascii="Arial" w:hAnsi="Arial" w:cs="Arial"/>
          <w:sz w:val="20"/>
          <w:szCs w:val="20"/>
        </w:rPr>
        <w:t xml:space="preserve">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 Dopravně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inženýrská opatření (DIO) po dobu provádění stavebních prací, návrh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objízdných tras, svislé dopravní značení pro dopravní opatření (zřízení a odstranění) bude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navrženo dle TP 66 pro provizorní dopravní značení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 Havarijní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a povodňový plán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proofErr w:type="gramStart"/>
      <w:r w:rsidRPr="00737FF2">
        <w:rPr>
          <w:rFonts w:ascii="Arial" w:hAnsi="Arial" w:cs="Arial"/>
          <w:sz w:val="20"/>
          <w:szCs w:val="20"/>
        </w:rPr>
        <w:t>-      Neoceněný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soupis prací, oceněný soupis prací (kontrolní rozpočet pro potřeby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zadavatele), soupis prací bude zpracován v rozpočtovém programu </w:t>
      </w:r>
      <w:proofErr w:type="spellStart"/>
      <w:r w:rsidRPr="00737FF2">
        <w:rPr>
          <w:rFonts w:ascii="Arial" w:hAnsi="Arial" w:cs="Arial"/>
          <w:sz w:val="20"/>
          <w:szCs w:val="20"/>
        </w:rPr>
        <w:t>Aspe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(v oborovém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třídníku stavebních konstrukcí OTSKP) v souladu s vyhláškou č. 405/2017 Sb., kterou se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mění vyhláška č. 499/2006 Sb., o dokumentaci staveb a s Vyhláškou č. 169/2016 Sb., o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       stanovení rozsahu dokumentace veřejné zakázky na stavební práce a soupisu stavebních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  <w:highlight w:val="cyan"/>
        </w:rPr>
      </w:pPr>
      <w:r w:rsidRPr="00737FF2">
        <w:rPr>
          <w:rFonts w:ascii="Arial" w:hAnsi="Arial" w:cs="Arial"/>
          <w:sz w:val="20"/>
          <w:szCs w:val="20"/>
        </w:rPr>
        <w:t xml:space="preserve">       prací, dodávek a služeb s výkazem výměr.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Dokumentace bude projednána na výrobních výborech (minimálně 2x) a TDK za účasti všech orgánů, organizací a vlastníků pozemků, dotčených touto stavbou. Jednání svolává a zápis vyhotovuje zhotovitel projektové dokumentace.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 definitivním odsouhlasení objednatelem bude následně PDPS předána objednateli v tištěné podobě a na CD (v plném rozsahu tištěné podoby) v následujícím počtu: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PDPS - 3x v tištěné podobě, 1x v digitální ve formátu *.</w:t>
      </w:r>
      <w:proofErr w:type="spellStart"/>
      <w:r w:rsidRPr="00737FF2">
        <w:rPr>
          <w:rFonts w:ascii="Arial" w:hAnsi="Arial" w:cs="Arial"/>
          <w:sz w:val="20"/>
          <w:szCs w:val="20"/>
        </w:rPr>
        <w:t>dwg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737FF2">
        <w:rPr>
          <w:rFonts w:ascii="Arial" w:hAnsi="Arial" w:cs="Arial"/>
          <w:sz w:val="20"/>
          <w:szCs w:val="20"/>
        </w:rPr>
        <w:t>pdf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lastRenderedPageBreak/>
        <w:t>Oceněný soupis prací – 1x v digitální ve formátu *.</w:t>
      </w:r>
      <w:proofErr w:type="spellStart"/>
      <w:r w:rsidRPr="00737FF2">
        <w:rPr>
          <w:rFonts w:ascii="Arial" w:hAnsi="Arial" w:cs="Arial"/>
          <w:sz w:val="20"/>
          <w:szCs w:val="20"/>
        </w:rPr>
        <w:t>xls</w:t>
      </w:r>
      <w:proofErr w:type="spellEnd"/>
      <w:r w:rsidRPr="00737FF2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pdf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737FF2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737FF2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737FF2">
        <w:rPr>
          <w:rFonts w:ascii="Arial" w:hAnsi="Arial" w:cs="Arial"/>
          <w:sz w:val="20"/>
          <w:szCs w:val="20"/>
        </w:rPr>
        <w:t>Aspe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 datovém předpisu XC4)</w:t>
      </w:r>
    </w:p>
    <w:p w:rsidR="00737FF2" w:rsidRPr="00737FF2" w:rsidRDefault="00737FF2" w:rsidP="00737FF2">
      <w:pPr>
        <w:pStyle w:val="Odstavecseseznamem"/>
        <w:numPr>
          <w:ilvl w:val="0"/>
          <w:numId w:val="21"/>
        </w:numPr>
        <w:overflowPunct w:val="0"/>
        <w:autoSpaceDE w:val="0"/>
        <w:autoSpaceDN w:val="0"/>
        <w:adjustRightInd w:val="0"/>
        <w:spacing w:after="120"/>
        <w:ind w:left="567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Neoceněný soupis prací – 1x v digitální ve formátu *.</w:t>
      </w:r>
      <w:proofErr w:type="spellStart"/>
      <w:r w:rsidRPr="00737FF2">
        <w:rPr>
          <w:rFonts w:ascii="Arial" w:hAnsi="Arial" w:cs="Arial"/>
          <w:sz w:val="20"/>
          <w:szCs w:val="20"/>
        </w:rPr>
        <w:t>xls</w:t>
      </w:r>
      <w:proofErr w:type="spellEnd"/>
      <w:r w:rsidRPr="00737FF2">
        <w:rPr>
          <w:rFonts w:ascii="Arial" w:hAnsi="Arial" w:cs="Arial"/>
          <w:sz w:val="20"/>
          <w:szCs w:val="20"/>
        </w:rPr>
        <w:t>(x), *.</w:t>
      </w:r>
      <w:proofErr w:type="spellStart"/>
      <w:proofErr w:type="gramStart"/>
      <w:r w:rsidRPr="00737FF2">
        <w:rPr>
          <w:rFonts w:ascii="Arial" w:hAnsi="Arial" w:cs="Arial"/>
          <w:sz w:val="20"/>
          <w:szCs w:val="20"/>
        </w:rPr>
        <w:t>pdf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a *.</w:t>
      </w:r>
      <w:proofErr w:type="spellStart"/>
      <w:r w:rsidRPr="00737FF2">
        <w:rPr>
          <w:rFonts w:ascii="Arial" w:hAnsi="Arial" w:cs="Arial"/>
          <w:sz w:val="20"/>
          <w:szCs w:val="20"/>
        </w:rPr>
        <w:t>xml</w:t>
      </w:r>
      <w:proofErr w:type="spellEnd"/>
      <w:proofErr w:type="gramEnd"/>
      <w:r w:rsidRPr="00737FF2">
        <w:rPr>
          <w:rFonts w:ascii="Arial" w:hAnsi="Arial" w:cs="Arial"/>
          <w:sz w:val="20"/>
          <w:szCs w:val="20"/>
        </w:rPr>
        <w:t xml:space="preserve"> (exportní soubor z </w:t>
      </w:r>
      <w:proofErr w:type="spellStart"/>
      <w:r w:rsidRPr="00737FF2">
        <w:rPr>
          <w:rFonts w:ascii="Arial" w:hAnsi="Arial" w:cs="Arial"/>
          <w:sz w:val="20"/>
          <w:szCs w:val="20"/>
        </w:rPr>
        <w:t>Aspe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v datovém předpisu XC4)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737FF2">
        <w:rPr>
          <w:rFonts w:ascii="Tahoma" w:hAnsi="Tahoma" w:cs="Tahoma"/>
          <w:sz w:val="20"/>
          <w:szCs w:val="20"/>
        </w:rPr>
        <w:t>⁕</w:t>
      </w:r>
      <w:r w:rsidRPr="00737FF2">
        <w:rPr>
          <w:rFonts w:ascii="Arial" w:hAnsi="Arial" w:cs="Arial"/>
          <w:sz w:val="20"/>
          <w:szCs w:val="20"/>
        </w:rPr>
        <w:t>Datový předpis XC4 „je otevřený elektronický formát ve struktuře XML, který splňuje veškeré požadavky Vyhlášky č.169/2016 Sb. ze dne 12. května 2016. Volně dostupný Datový předpis XC4 umožňuje transfery dat a jejich zpracování různými softwarovými produkty pro sestavení soupisu prací, pro sestavení nabídkové ceny a veškerou komunikaci v průběhu realizace.“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Digitální podoba projektové dokumentace bude předána na nosiči CD v plném rozsahu tištěné podoby.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Při převzetí této dokumentace bude disk zkontrolován na odkazu </w:t>
      </w:r>
      <w:hyperlink r:id="rId8" w:history="1">
        <w:r w:rsidRPr="00737FF2">
          <w:rPr>
            <w:rStyle w:val="Hypertextovodkaz"/>
            <w:rFonts w:ascii="Arial" w:hAnsi="Arial" w:cs="Arial"/>
            <w:sz w:val="20"/>
            <w:szCs w:val="20"/>
          </w:rPr>
          <w:t>Datový předpis XC4</w:t>
        </w:r>
      </w:hyperlink>
      <w:r w:rsidRPr="00737FF2">
        <w:rPr>
          <w:rStyle w:val="Hypertextovodkaz"/>
          <w:rFonts w:ascii="Arial" w:hAnsi="Arial" w:cs="Arial"/>
          <w:sz w:val="20"/>
          <w:szCs w:val="20"/>
        </w:rPr>
        <w:t xml:space="preserve"> : výsledek kontroly musí být vždy „</w:t>
      </w:r>
      <w:r w:rsidRPr="00737FF2">
        <w:rPr>
          <w:rFonts w:ascii="Arial" w:hAnsi="Arial" w:cs="Arial"/>
          <w:sz w:val="20"/>
          <w:szCs w:val="20"/>
          <w:u w:val="single"/>
        </w:rPr>
        <w:t>Soubor odpovídá schématu XC4 – SP</w:t>
      </w:r>
      <w:r w:rsidRPr="00737FF2">
        <w:rPr>
          <w:rFonts w:ascii="Arial" w:hAnsi="Arial" w:cs="Arial"/>
          <w:sz w:val="20"/>
          <w:szCs w:val="20"/>
        </w:rPr>
        <w:t xml:space="preserve">“.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37FF2">
        <w:rPr>
          <w:rFonts w:ascii="Arial" w:hAnsi="Arial" w:cs="Arial"/>
          <w:b/>
          <w:sz w:val="20"/>
          <w:szCs w:val="20"/>
        </w:rPr>
        <w:t>Zajištění vydání stavebního záměru</w:t>
      </w:r>
    </w:p>
    <w:p w:rsidR="00737FF2" w:rsidRPr="00737FF2" w:rsidRDefault="00737FF2" w:rsidP="00737FF2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Zpracování potřebných žádostí o vydání rozhodnutí povolení stavebního záměru včetně všech požadovaných příloh, vyjádření a stanovisek a podání řádných žádostí k příslušným stavebním úřadům dle jednotlivých stavebních objektů a příslušnosti k úřadu, který stavební objekty povoluje. Zapracování případných požadovaných změn do DPZ.</w:t>
      </w:r>
    </w:p>
    <w:p w:rsidR="00737FF2" w:rsidRPr="00737FF2" w:rsidRDefault="00737FF2" w:rsidP="00737FF2">
      <w:pPr>
        <w:tabs>
          <w:tab w:val="num" w:pos="-1560"/>
        </w:tabs>
        <w:jc w:val="both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>Před podáním žádostí na příslušné stavební úřady, je zhotovitel povinen odsouhlasit si tyto žádosti včetně všech příloh se zástupci zadavatele.</w:t>
      </w:r>
    </w:p>
    <w:p w:rsidR="00737FF2" w:rsidRPr="00737FF2" w:rsidRDefault="00737FF2" w:rsidP="00737FF2">
      <w:pPr>
        <w:tabs>
          <w:tab w:val="num" w:pos="-1560"/>
        </w:tabs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737FF2">
        <w:rPr>
          <w:rFonts w:ascii="Arial" w:hAnsi="Arial" w:cs="Arial"/>
          <w:bCs/>
          <w:sz w:val="20"/>
          <w:szCs w:val="20"/>
        </w:rPr>
        <w:t xml:space="preserve">Pravomocná povolení budou předány zadavateli: </w:t>
      </w:r>
    </w:p>
    <w:p w:rsidR="00737FF2" w:rsidRPr="00737FF2" w:rsidRDefault="00737FF2" w:rsidP="00737FF2">
      <w:pPr>
        <w:numPr>
          <w:ilvl w:val="0"/>
          <w:numId w:val="23"/>
        </w:numPr>
        <w:tabs>
          <w:tab w:val="clear" w:pos="3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1x originál každého povolení záměru (PZ) v písemné nebo elektronické podobě s vyznačením nabytí právní moci + projektová dokumentace pro povolení záměru (DPZ) ověřená stavebním úřadem.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567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37FF2">
        <w:rPr>
          <w:rFonts w:ascii="Arial" w:hAnsi="Arial" w:cs="Arial"/>
          <w:b/>
          <w:sz w:val="20"/>
          <w:szCs w:val="20"/>
        </w:rPr>
        <w:t>Výkon dozoru projektanta</w:t>
      </w:r>
    </w:p>
    <w:p w:rsidR="00737FF2" w:rsidRPr="00737FF2" w:rsidRDefault="00737FF2" w:rsidP="00737FF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37FF2">
        <w:rPr>
          <w:rFonts w:ascii="Arial" w:hAnsi="Arial" w:cs="Arial"/>
          <w:sz w:val="20"/>
        </w:rPr>
        <w:t xml:space="preserve">Výkonem dozoru projektanta (DP) se rozumí uskutečnění činností předpokládaných obecně závaznými právními předpisy a vyžadovaných objektivní stavebně-technickou situací, jakožto součinnost autora při realizaci stavby podle zpracovaného projektu. V rámci výkonu DP je zhotovitel povinen zejména provádět pravidelnou kontrolu postupu realizace podle zpracovaného projektu, podávat vysvětlení a pokyny pro realizaci stavby. V případě potřeby provést přepracování nebo doplnění projektové dokumentace. </w:t>
      </w:r>
    </w:p>
    <w:p w:rsidR="00737FF2" w:rsidRPr="00737FF2" w:rsidRDefault="00737FF2" w:rsidP="00737FF2">
      <w:pPr>
        <w:pStyle w:val="Zkladntextodsazen21"/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37FF2">
        <w:rPr>
          <w:rFonts w:ascii="Arial" w:hAnsi="Arial" w:cs="Arial"/>
          <w:sz w:val="20"/>
        </w:rPr>
        <w:t>Zhotovitel je povinen při plnění DP poskytnout svoji součinnost vždy bezodkladně poté, kdy bude k tomu zadavatelem vyzván nebo poté, kdy takovou potřebu sám zjistí.</w:t>
      </w:r>
    </w:p>
    <w:p w:rsidR="00737FF2" w:rsidRPr="00737FF2" w:rsidRDefault="00737FF2" w:rsidP="00737FF2">
      <w:pPr>
        <w:pStyle w:val="Zkladntextodsazen21"/>
        <w:spacing w:line="276" w:lineRule="auto"/>
        <w:ind w:left="0" w:firstLine="0"/>
        <w:rPr>
          <w:rFonts w:ascii="Arial" w:hAnsi="Arial" w:cs="Arial"/>
          <w:sz w:val="20"/>
        </w:rPr>
      </w:pPr>
      <w:r w:rsidRPr="00737FF2">
        <w:rPr>
          <w:rFonts w:ascii="Arial" w:hAnsi="Arial" w:cs="Arial"/>
          <w:sz w:val="20"/>
        </w:rPr>
        <w:t>Předmětem výkonu DP je především: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účastnit se předání staveniště zhotoviteli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dohled nad realizací díla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kontrola dodržování projektové dokumentace s přihlédnutím na podmínky určené povolením stavebního záměru, souhlasem stavebního úřadu, případně nařízením nezbytných stavebních úprav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posuzování postupu výstavby z technického hlediska a z hlediska časového plánu výstavby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sledování a kontrola technických a kvalitativních parametrů stavby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řešit drobné odchylky od projektu, které nebudou vyžadovat zpracování nového projektu případně jeho části nebo dodatku projektové dokumentace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posuzovat návrhy zadavatele stavby na změny a odchylky v částech projektů zpracovávaných v rámci realizační dokumentace z pohledu dodržení </w:t>
      </w:r>
      <w:proofErr w:type="spellStart"/>
      <w:r w:rsidRPr="00737FF2">
        <w:rPr>
          <w:rFonts w:ascii="Arial" w:hAnsi="Arial" w:cs="Arial"/>
          <w:sz w:val="20"/>
          <w:szCs w:val="20"/>
        </w:rPr>
        <w:t>technicko-ekonomických</w:t>
      </w:r>
      <w:proofErr w:type="spellEnd"/>
      <w:r w:rsidRPr="00737FF2">
        <w:rPr>
          <w:rFonts w:ascii="Arial" w:hAnsi="Arial" w:cs="Arial"/>
          <w:sz w:val="20"/>
          <w:szCs w:val="20"/>
        </w:rPr>
        <w:t xml:space="preserve"> parametrů, dodržení lhůt výstavby, případně dalších údajů a ukazatelů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vyjádření k požadavkům na zvětšený rozsah stavebních prací a dodávek materiálu oproti projektové dokumentaci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 xml:space="preserve">účast na kontrolních dnech stavby 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lastRenderedPageBreak/>
        <w:t xml:space="preserve">účast na přejímacím řízení stavby a jejích dílčích částech, případné kolaudaci stavby a řádně spolupracovat při těchto řízeních 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provádění projekčních prací menšího rozsahu (doplňky a změny)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poskytovat technické konzultace potřebné pro plynulost výstavby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after="0"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konzultovat a podávat upřesnění při vypracování realizační dokumentace</w:t>
      </w:r>
    </w:p>
    <w:p w:rsidR="00737FF2" w:rsidRPr="00737FF2" w:rsidRDefault="00737FF2" w:rsidP="00737FF2">
      <w:pPr>
        <w:pStyle w:val="Zkladntext"/>
        <w:numPr>
          <w:ilvl w:val="0"/>
          <w:numId w:val="23"/>
        </w:numPr>
        <w:tabs>
          <w:tab w:val="clear" w:pos="360"/>
          <w:tab w:val="num" w:pos="426"/>
          <w:tab w:val="num" w:pos="567"/>
        </w:tabs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zapisovat své návštěvy, prohlídky a posouzení stavby ve stavebním deníku, kam bude také uvádět jím zjištěné nedostatky a navržená opatření, pokud není výše dohodnuto jinak</w:t>
      </w:r>
    </w:p>
    <w:p w:rsidR="00737FF2" w:rsidRPr="00737FF2" w:rsidRDefault="00737FF2" w:rsidP="00737FF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iCs/>
          <w:sz w:val="20"/>
        </w:rPr>
      </w:pPr>
      <w:r w:rsidRPr="00737FF2">
        <w:rPr>
          <w:rFonts w:ascii="Arial" w:hAnsi="Arial" w:cs="Arial"/>
          <w:iCs/>
          <w:sz w:val="20"/>
        </w:rPr>
        <w:t>Zjistí-li autor při výkonu dozoru projektanta nedodržení projektové dokumentace stavby, uvědomí bez zbytečného odkladu o této skutečnosti zadavatele a zhotovitele stavby. V odůvodněných případech uvede stručnou charakteristiku porušení dokumentace a tomu odpovídající důsledky.</w:t>
      </w:r>
    </w:p>
    <w:p w:rsidR="00737FF2" w:rsidRPr="00737FF2" w:rsidRDefault="00737FF2" w:rsidP="00737FF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37FF2">
        <w:rPr>
          <w:rFonts w:ascii="Arial" w:hAnsi="Arial" w:cs="Arial"/>
          <w:sz w:val="20"/>
        </w:rPr>
        <w:t xml:space="preserve">Dozor projektanta bude vykonáván na vyžádání ze strany zadavatele. Předmět, termín a místo výkonu DP budou dohodnuty vždy individuálně při každé výzvě zadavatele. </w:t>
      </w:r>
    </w:p>
    <w:p w:rsidR="00737FF2" w:rsidRPr="00737FF2" w:rsidRDefault="00737FF2" w:rsidP="00737FF2">
      <w:pPr>
        <w:pStyle w:val="Zkladntextodsazen21"/>
        <w:tabs>
          <w:tab w:val="left" w:pos="567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>Místo plnění/realizace</w:t>
      </w: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sz w:val="20"/>
          <w:szCs w:val="20"/>
        </w:rPr>
        <w:t xml:space="preserve">Místo stavby – Kraj Vysočina, okres Žďár nad </w:t>
      </w:r>
      <w:proofErr w:type="gramStart"/>
      <w:r w:rsidRPr="00737FF2">
        <w:rPr>
          <w:rFonts w:ascii="Arial" w:hAnsi="Arial" w:cs="Arial"/>
          <w:sz w:val="20"/>
          <w:szCs w:val="20"/>
        </w:rPr>
        <w:t>Sázavou,  obec</w:t>
      </w:r>
      <w:proofErr w:type="gramEnd"/>
      <w:r w:rsidRPr="00737FF2">
        <w:rPr>
          <w:rFonts w:ascii="Arial" w:hAnsi="Arial" w:cs="Arial"/>
          <w:sz w:val="20"/>
          <w:szCs w:val="20"/>
        </w:rPr>
        <w:t xml:space="preserve"> Krejcar</w:t>
      </w: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>Veřejný provoz</w:t>
      </w: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sz w:val="20"/>
          <w:szCs w:val="20"/>
        </w:rPr>
        <w:t>Zadavatel předpokládá, že projektovaná rekonstrukce bude probíhat za úplné uzavírky silničního provozu.</w:t>
      </w: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 xml:space="preserve">Seznam </w:t>
      </w:r>
      <w:proofErr w:type="spellStart"/>
      <w:r w:rsidRPr="00737FF2">
        <w:rPr>
          <w:rFonts w:ascii="Arial" w:hAnsi="Arial" w:cs="Arial"/>
          <w:b/>
          <w:sz w:val="20"/>
          <w:szCs w:val="20"/>
          <w:u w:val="single"/>
        </w:rPr>
        <w:t>poskytnutných</w:t>
      </w:r>
      <w:proofErr w:type="spellEnd"/>
      <w:r w:rsidRPr="00737FF2">
        <w:rPr>
          <w:rFonts w:ascii="Arial" w:hAnsi="Arial" w:cs="Arial"/>
          <w:b/>
          <w:sz w:val="20"/>
          <w:szCs w:val="20"/>
          <w:u w:val="single"/>
        </w:rPr>
        <w:t xml:space="preserve"> podkladů</w:t>
      </w:r>
    </w:p>
    <w:p w:rsidR="00737FF2" w:rsidRPr="00737FF2" w:rsidRDefault="00737FF2" w:rsidP="00737FF2">
      <w:pPr>
        <w:pStyle w:val="3"/>
        <w:numPr>
          <w:ilvl w:val="0"/>
          <w:numId w:val="23"/>
        </w:num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sz w:val="20"/>
          <w:szCs w:val="20"/>
        </w:rPr>
        <w:t>Přehledná situace</w:t>
      </w:r>
    </w:p>
    <w:p w:rsidR="00737FF2" w:rsidRPr="00737FF2" w:rsidRDefault="00737FF2" w:rsidP="00737FF2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Mostní list mostu ev. č. ML 343-017_a712</w:t>
      </w:r>
    </w:p>
    <w:p w:rsidR="00737FF2" w:rsidRPr="00737FF2" w:rsidRDefault="00737FF2" w:rsidP="00737FF2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Poslední provedená hlavní mostní prohlídka mostu ev. č. HPM 343-017_9_7_2024_cc87</w:t>
      </w:r>
    </w:p>
    <w:p w:rsidR="00737FF2" w:rsidRPr="00737FF2" w:rsidRDefault="00737FF2" w:rsidP="00737FF2">
      <w:pPr>
        <w:pStyle w:val="Odstavecseseznamem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 w:rsidRPr="00737FF2">
        <w:rPr>
          <w:rFonts w:ascii="Arial" w:hAnsi="Arial" w:cs="Arial"/>
          <w:sz w:val="20"/>
          <w:szCs w:val="20"/>
        </w:rPr>
        <w:t>Základní diagnostický průzkum (343-017)</w:t>
      </w:r>
    </w:p>
    <w:p w:rsidR="00737FF2" w:rsidRPr="00737FF2" w:rsidRDefault="00737FF2" w:rsidP="00737FF2">
      <w:pPr>
        <w:pStyle w:val="3"/>
        <w:rPr>
          <w:rFonts w:ascii="Arial" w:hAnsi="Arial" w:cs="Arial"/>
          <w:b/>
          <w:sz w:val="20"/>
          <w:szCs w:val="20"/>
          <w:u w:val="single"/>
        </w:rPr>
      </w:pPr>
    </w:p>
    <w:p w:rsidR="00737FF2" w:rsidRPr="00737FF2" w:rsidRDefault="00737FF2" w:rsidP="00737FF2">
      <w:pPr>
        <w:rPr>
          <w:rFonts w:ascii="Arial" w:hAnsi="Arial" w:cs="Arial"/>
          <w:b/>
          <w:sz w:val="20"/>
          <w:szCs w:val="20"/>
          <w:u w:val="single"/>
        </w:rPr>
      </w:pPr>
      <w:r w:rsidRPr="00737FF2">
        <w:rPr>
          <w:rFonts w:ascii="Arial" w:hAnsi="Arial" w:cs="Arial"/>
          <w:b/>
          <w:sz w:val="20"/>
          <w:szCs w:val="20"/>
          <w:u w:val="single"/>
        </w:rPr>
        <w:t>Lhůty plnění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Zahájení realizace: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ihned po nabytí účinnosti smlouvy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IGP průzkum a návrh technického řešení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90 dnů od nabytí účinnosti smlouvy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Dokumentace DPZ (koncept)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150 dnů od nabytí účinnosti smlouvy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Dokumentace DPZ (čistopis, včetně IČ a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projednání s DOSS, odsouhlasený objednatelem)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předání konceptu DPS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Podání žádosti pro povolení stavebního záměru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30 dnů od dokončení IČ, nebo do 30    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dnů od předání DPS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Dokumentace PDPS (čistopis, včetně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zapracování případných připomínek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ze stavebního řízení a včetně soupisů prací,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odsouhlasený objednatelem)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 do 60 dnů od vydání pravomocného 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after="0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    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  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PS stavebním úřadem</w:t>
      </w:r>
    </w:p>
    <w:p w:rsidR="00737FF2" w:rsidRPr="00737FF2" w:rsidRDefault="00737FF2" w:rsidP="00737FF2">
      <w:pPr>
        <w:overflowPunct w:val="0"/>
        <w:autoSpaceDE w:val="0"/>
        <w:autoSpaceDN w:val="0"/>
        <w:adjustRightInd w:val="0"/>
        <w:spacing w:before="240" w:after="120" w:line="240" w:lineRule="auto"/>
        <w:ind w:left="4950" w:hanging="4950"/>
        <w:textAlignment w:val="baseline"/>
        <w:rPr>
          <w:rFonts w:ascii="Arial" w:eastAsia="Times New Roman" w:hAnsi="Arial" w:cs="Arial"/>
          <w:sz w:val="20"/>
          <w:szCs w:val="20"/>
          <w:lang w:eastAsia="cs-CZ"/>
        </w:rPr>
      </w:pPr>
      <w:r w:rsidRPr="00737FF2">
        <w:rPr>
          <w:rFonts w:ascii="Arial" w:eastAsia="Times New Roman" w:hAnsi="Arial" w:cs="Arial"/>
          <w:sz w:val="20"/>
          <w:szCs w:val="20"/>
          <w:lang w:eastAsia="cs-CZ"/>
        </w:rPr>
        <w:t>Předpoklad zahájení výkonu dozoru projektanta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 do 60 měsíců od vydání </w:t>
      </w:r>
      <w:proofErr w:type="gramStart"/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pravomocného   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   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>povolení</w:t>
      </w:r>
      <w:proofErr w:type="gramEnd"/>
      <w:r w:rsidRPr="00737FF2">
        <w:rPr>
          <w:rFonts w:ascii="Arial" w:eastAsia="Times New Roman" w:hAnsi="Arial" w:cs="Arial"/>
          <w:sz w:val="20"/>
          <w:szCs w:val="20"/>
          <w:lang w:eastAsia="cs-CZ"/>
        </w:rPr>
        <w:t xml:space="preserve"> stavby</w:t>
      </w:r>
      <w:r w:rsidRPr="00737FF2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737FF2" w:rsidRPr="00737FF2" w:rsidRDefault="00737FF2" w:rsidP="00737FF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37FF2" w:rsidRPr="00737FF2" w:rsidSect="0034703B">
      <w:headerReference w:type="default" r:id="rId9"/>
      <w:footerReference w:type="default" r:id="rId10"/>
      <w:pgSz w:w="11906" w:h="16838"/>
      <w:pgMar w:top="1477" w:right="1133" w:bottom="1135" w:left="1417" w:header="1135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F79" w:rsidRDefault="00D27F79" w:rsidP="00033EC2">
      <w:pPr>
        <w:spacing w:after="0" w:line="240" w:lineRule="auto"/>
      </w:pPr>
      <w:r>
        <w:separator/>
      </w:r>
    </w:p>
  </w:endnote>
  <w:end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3A6635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03990">
      <w:rPr>
        <w:rFonts w:ascii="Arial" w:hAnsi="Arial" w:cs="Arial"/>
        <w:b/>
        <w:noProof/>
        <w:sz w:val="16"/>
        <w:szCs w:val="16"/>
      </w:rPr>
      <w:t>5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="00B0273E"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="00B0273E" w:rsidRPr="00B545BC">
      <w:rPr>
        <w:rFonts w:ascii="Arial" w:hAnsi="Arial" w:cs="Arial"/>
        <w:b/>
        <w:sz w:val="16"/>
        <w:szCs w:val="16"/>
      </w:rPr>
      <w:fldChar w:fldCharType="separate"/>
    </w:r>
    <w:r w:rsidR="00B03990">
      <w:rPr>
        <w:rFonts w:ascii="Arial" w:hAnsi="Arial" w:cs="Arial"/>
        <w:b/>
        <w:noProof/>
        <w:sz w:val="16"/>
        <w:szCs w:val="16"/>
      </w:rPr>
      <w:t>6</w:t>
    </w:r>
    <w:r w:rsidR="00B0273E"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F79" w:rsidRDefault="00D27F79" w:rsidP="00033EC2">
      <w:pPr>
        <w:spacing w:after="0" w:line="240" w:lineRule="auto"/>
      </w:pPr>
      <w:r>
        <w:separator/>
      </w:r>
    </w:p>
  </w:footnote>
  <w:footnote w:type="continuationSeparator" w:id="0">
    <w:p w:rsidR="00D27F79" w:rsidRDefault="00D27F79" w:rsidP="00033E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EC5DCC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-961447</wp:posOffset>
          </wp:positionV>
          <wp:extent cx="2600000" cy="580952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02F34" w:rsidRPr="00955CD4" w:rsidRDefault="00955CD4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955CD4">
      <w:rPr>
        <w:rFonts w:ascii="Arial" w:hAnsi="Arial" w:cs="Arial"/>
        <w:b/>
        <w:sz w:val="16"/>
        <w:szCs w:val="16"/>
      </w:rPr>
      <w:t>Příloha A1</w:t>
    </w:r>
  </w:p>
  <w:p w:rsidR="00B4322A" w:rsidRDefault="00B4322A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B7AD1"/>
    <w:multiLevelType w:val="hybridMultilevel"/>
    <w:tmpl w:val="D8FAA5D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772B"/>
    <w:multiLevelType w:val="hybridMultilevel"/>
    <w:tmpl w:val="0DB08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2FB5"/>
    <w:multiLevelType w:val="hybridMultilevel"/>
    <w:tmpl w:val="E4122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32BA5"/>
    <w:multiLevelType w:val="hybridMultilevel"/>
    <w:tmpl w:val="E568826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47DDD"/>
    <w:multiLevelType w:val="hybridMultilevel"/>
    <w:tmpl w:val="AA506968"/>
    <w:lvl w:ilvl="0" w:tplc="B126AF8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1325D2"/>
    <w:multiLevelType w:val="hybridMultilevel"/>
    <w:tmpl w:val="E98C2A3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2CF5"/>
    <w:multiLevelType w:val="hybridMultilevel"/>
    <w:tmpl w:val="D4AC5F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13BF7"/>
    <w:multiLevelType w:val="hybridMultilevel"/>
    <w:tmpl w:val="6E145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8008B"/>
    <w:multiLevelType w:val="hybridMultilevel"/>
    <w:tmpl w:val="0C06B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61089"/>
    <w:multiLevelType w:val="hybridMultilevel"/>
    <w:tmpl w:val="3DEE1E10"/>
    <w:lvl w:ilvl="0" w:tplc="ADEA5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35F1C"/>
    <w:multiLevelType w:val="hybridMultilevel"/>
    <w:tmpl w:val="C7860E06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407DE"/>
    <w:multiLevelType w:val="hybridMultilevel"/>
    <w:tmpl w:val="D0C0FBDA"/>
    <w:lvl w:ilvl="0" w:tplc="16C4C7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C6455"/>
    <w:multiLevelType w:val="hybridMultilevel"/>
    <w:tmpl w:val="6C04401E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6489C"/>
    <w:multiLevelType w:val="hybridMultilevel"/>
    <w:tmpl w:val="420C25E8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96C2E"/>
    <w:multiLevelType w:val="hybridMultilevel"/>
    <w:tmpl w:val="4FD6154C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7315C"/>
    <w:multiLevelType w:val="hybridMultilevel"/>
    <w:tmpl w:val="D7B03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C0508"/>
    <w:multiLevelType w:val="hybridMultilevel"/>
    <w:tmpl w:val="166685AC"/>
    <w:lvl w:ilvl="0" w:tplc="E4B800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8" w15:restartNumberingAfterBreak="0">
    <w:nsid w:val="58DC31F6"/>
    <w:multiLevelType w:val="hybridMultilevel"/>
    <w:tmpl w:val="EF66D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0A6FEE"/>
    <w:multiLevelType w:val="hybridMultilevel"/>
    <w:tmpl w:val="99E2FD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751D2D"/>
    <w:multiLevelType w:val="hybridMultilevel"/>
    <w:tmpl w:val="F340767E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7453C2"/>
    <w:multiLevelType w:val="hybridMultilevel"/>
    <w:tmpl w:val="7884C86E"/>
    <w:lvl w:ilvl="0" w:tplc="7310B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FA3587"/>
    <w:multiLevelType w:val="hybridMultilevel"/>
    <w:tmpl w:val="82DEE3E4"/>
    <w:lvl w:ilvl="0" w:tplc="D99EFA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078F7"/>
    <w:multiLevelType w:val="hybridMultilevel"/>
    <w:tmpl w:val="B74A4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73A41"/>
    <w:multiLevelType w:val="hybridMultilevel"/>
    <w:tmpl w:val="159AFC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2"/>
  </w:num>
  <w:num w:numId="3">
    <w:abstractNumId w:val="0"/>
  </w:num>
  <w:num w:numId="4">
    <w:abstractNumId w:val="14"/>
  </w:num>
  <w:num w:numId="5">
    <w:abstractNumId w:val="10"/>
  </w:num>
  <w:num w:numId="6">
    <w:abstractNumId w:val="13"/>
  </w:num>
  <w:num w:numId="7">
    <w:abstractNumId w:val="12"/>
  </w:num>
  <w:num w:numId="8">
    <w:abstractNumId w:val="5"/>
  </w:num>
  <w:num w:numId="9">
    <w:abstractNumId w:val="11"/>
  </w:num>
  <w:num w:numId="10">
    <w:abstractNumId w:val="4"/>
  </w:num>
  <w:num w:numId="11">
    <w:abstractNumId w:val="6"/>
  </w:num>
  <w:num w:numId="12">
    <w:abstractNumId w:val="1"/>
  </w:num>
  <w:num w:numId="13">
    <w:abstractNumId w:val="7"/>
  </w:num>
  <w:num w:numId="14">
    <w:abstractNumId w:val="23"/>
  </w:num>
  <w:num w:numId="15">
    <w:abstractNumId w:val="19"/>
  </w:num>
  <w:num w:numId="16">
    <w:abstractNumId w:val="2"/>
  </w:num>
  <w:num w:numId="17">
    <w:abstractNumId w:val="8"/>
  </w:num>
  <w:num w:numId="18">
    <w:abstractNumId w:val="24"/>
  </w:num>
  <w:num w:numId="19">
    <w:abstractNumId w:val="18"/>
  </w:num>
  <w:num w:numId="20">
    <w:abstractNumId w:val="16"/>
  </w:num>
  <w:num w:numId="21">
    <w:abstractNumId w:val="3"/>
  </w:num>
  <w:num w:numId="22">
    <w:abstractNumId w:val="20"/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2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C2"/>
    <w:rsid w:val="0001297C"/>
    <w:rsid w:val="00031B59"/>
    <w:rsid w:val="00032DF2"/>
    <w:rsid w:val="00033EC2"/>
    <w:rsid w:val="00077603"/>
    <w:rsid w:val="00091A0B"/>
    <w:rsid w:val="00105330"/>
    <w:rsid w:val="001310C6"/>
    <w:rsid w:val="00143858"/>
    <w:rsid w:val="00150F88"/>
    <w:rsid w:val="00153F4E"/>
    <w:rsid w:val="0016103B"/>
    <w:rsid w:val="001632A3"/>
    <w:rsid w:val="00167A1E"/>
    <w:rsid w:val="00172C17"/>
    <w:rsid w:val="00174D7F"/>
    <w:rsid w:val="001B46DA"/>
    <w:rsid w:val="001C3BF8"/>
    <w:rsid w:val="001C4EBD"/>
    <w:rsid w:val="001C5F54"/>
    <w:rsid w:val="001C7DD6"/>
    <w:rsid w:val="001E3591"/>
    <w:rsid w:val="001E3B69"/>
    <w:rsid w:val="001F1E8D"/>
    <w:rsid w:val="00201C8A"/>
    <w:rsid w:val="00206A81"/>
    <w:rsid w:val="00207AAA"/>
    <w:rsid w:val="0021028E"/>
    <w:rsid w:val="00227F69"/>
    <w:rsid w:val="00245CC3"/>
    <w:rsid w:val="0024717C"/>
    <w:rsid w:val="002505CD"/>
    <w:rsid w:val="002715B4"/>
    <w:rsid w:val="00272769"/>
    <w:rsid w:val="002819DD"/>
    <w:rsid w:val="00294439"/>
    <w:rsid w:val="002A2808"/>
    <w:rsid w:val="002A70F8"/>
    <w:rsid w:val="002C3FF4"/>
    <w:rsid w:val="002D116F"/>
    <w:rsid w:val="002D2AC8"/>
    <w:rsid w:val="003012C4"/>
    <w:rsid w:val="00317A3B"/>
    <w:rsid w:val="0032208A"/>
    <w:rsid w:val="00322187"/>
    <w:rsid w:val="00335791"/>
    <w:rsid w:val="0034703B"/>
    <w:rsid w:val="00355D64"/>
    <w:rsid w:val="003634A2"/>
    <w:rsid w:val="00366FD2"/>
    <w:rsid w:val="00395D4F"/>
    <w:rsid w:val="003A6635"/>
    <w:rsid w:val="003B523E"/>
    <w:rsid w:val="003C0016"/>
    <w:rsid w:val="003C5BC7"/>
    <w:rsid w:val="003D36F1"/>
    <w:rsid w:val="00405F21"/>
    <w:rsid w:val="00413BFA"/>
    <w:rsid w:val="004177E6"/>
    <w:rsid w:val="00421B50"/>
    <w:rsid w:val="00433246"/>
    <w:rsid w:val="0043662A"/>
    <w:rsid w:val="00437E4E"/>
    <w:rsid w:val="00457474"/>
    <w:rsid w:val="0047400F"/>
    <w:rsid w:val="00487EB6"/>
    <w:rsid w:val="004B1D1B"/>
    <w:rsid w:val="004B2925"/>
    <w:rsid w:val="004B3A5B"/>
    <w:rsid w:val="004B4D66"/>
    <w:rsid w:val="004C2E7C"/>
    <w:rsid w:val="004C3D34"/>
    <w:rsid w:val="004E26C7"/>
    <w:rsid w:val="004F4618"/>
    <w:rsid w:val="005252AA"/>
    <w:rsid w:val="0052571B"/>
    <w:rsid w:val="005562DB"/>
    <w:rsid w:val="00575531"/>
    <w:rsid w:val="00580C51"/>
    <w:rsid w:val="005875BA"/>
    <w:rsid w:val="005A2999"/>
    <w:rsid w:val="005A3E25"/>
    <w:rsid w:val="005B1FC8"/>
    <w:rsid w:val="005E469A"/>
    <w:rsid w:val="005E59F4"/>
    <w:rsid w:val="005E65B7"/>
    <w:rsid w:val="00605337"/>
    <w:rsid w:val="0060692D"/>
    <w:rsid w:val="00627D75"/>
    <w:rsid w:val="00633927"/>
    <w:rsid w:val="00635E1D"/>
    <w:rsid w:val="00651DA9"/>
    <w:rsid w:val="00651F7A"/>
    <w:rsid w:val="00660B95"/>
    <w:rsid w:val="00683DAC"/>
    <w:rsid w:val="006916B1"/>
    <w:rsid w:val="006A0285"/>
    <w:rsid w:val="006A3AD9"/>
    <w:rsid w:val="006B7CDC"/>
    <w:rsid w:val="00723546"/>
    <w:rsid w:val="007349F9"/>
    <w:rsid w:val="00737FF2"/>
    <w:rsid w:val="007462B8"/>
    <w:rsid w:val="007524A0"/>
    <w:rsid w:val="00756EC0"/>
    <w:rsid w:val="0076591D"/>
    <w:rsid w:val="00771D72"/>
    <w:rsid w:val="00781C90"/>
    <w:rsid w:val="007908F6"/>
    <w:rsid w:val="00794F75"/>
    <w:rsid w:val="007D1374"/>
    <w:rsid w:val="007E6FEB"/>
    <w:rsid w:val="007F411D"/>
    <w:rsid w:val="007F463F"/>
    <w:rsid w:val="008023D2"/>
    <w:rsid w:val="00817C5F"/>
    <w:rsid w:val="008209FA"/>
    <w:rsid w:val="00836C76"/>
    <w:rsid w:val="00844B90"/>
    <w:rsid w:val="00847C98"/>
    <w:rsid w:val="0085017D"/>
    <w:rsid w:val="008661DA"/>
    <w:rsid w:val="008742AE"/>
    <w:rsid w:val="0088286F"/>
    <w:rsid w:val="0088350B"/>
    <w:rsid w:val="00884EBA"/>
    <w:rsid w:val="008B37FB"/>
    <w:rsid w:val="008B5E8C"/>
    <w:rsid w:val="008D4372"/>
    <w:rsid w:val="008E5B75"/>
    <w:rsid w:val="008F1380"/>
    <w:rsid w:val="008F2428"/>
    <w:rsid w:val="00903D67"/>
    <w:rsid w:val="009153D3"/>
    <w:rsid w:val="009333EF"/>
    <w:rsid w:val="00946275"/>
    <w:rsid w:val="009470C5"/>
    <w:rsid w:val="00955CD4"/>
    <w:rsid w:val="0095682B"/>
    <w:rsid w:val="00966055"/>
    <w:rsid w:val="00972FC3"/>
    <w:rsid w:val="00981014"/>
    <w:rsid w:val="009B0C47"/>
    <w:rsid w:val="009B37C8"/>
    <w:rsid w:val="009E174F"/>
    <w:rsid w:val="009E5449"/>
    <w:rsid w:val="00A02A92"/>
    <w:rsid w:val="00A02C1A"/>
    <w:rsid w:val="00A111D2"/>
    <w:rsid w:val="00A22581"/>
    <w:rsid w:val="00A258B6"/>
    <w:rsid w:val="00A333AD"/>
    <w:rsid w:val="00A44DF5"/>
    <w:rsid w:val="00A63D56"/>
    <w:rsid w:val="00A93CA0"/>
    <w:rsid w:val="00AA14FB"/>
    <w:rsid w:val="00AA21EC"/>
    <w:rsid w:val="00AA42F6"/>
    <w:rsid w:val="00AA667C"/>
    <w:rsid w:val="00AA76D7"/>
    <w:rsid w:val="00AB286A"/>
    <w:rsid w:val="00AC4AB1"/>
    <w:rsid w:val="00AE7DDA"/>
    <w:rsid w:val="00AF5D3F"/>
    <w:rsid w:val="00B0273E"/>
    <w:rsid w:val="00B03990"/>
    <w:rsid w:val="00B31119"/>
    <w:rsid w:val="00B3596C"/>
    <w:rsid w:val="00B41130"/>
    <w:rsid w:val="00B4147B"/>
    <w:rsid w:val="00B4322A"/>
    <w:rsid w:val="00B44286"/>
    <w:rsid w:val="00B545BC"/>
    <w:rsid w:val="00B64492"/>
    <w:rsid w:val="00B72CB0"/>
    <w:rsid w:val="00BD08E8"/>
    <w:rsid w:val="00BD2DC3"/>
    <w:rsid w:val="00BE3B79"/>
    <w:rsid w:val="00BF4645"/>
    <w:rsid w:val="00C040A0"/>
    <w:rsid w:val="00C0508D"/>
    <w:rsid w:val="00C34F5B"/>
    <w:rsid w:val="00C52667"/>
    <w:rsid w:val="00C65520"/>
    <w:rsid w:val="00CB1CE3"/>
    <w:rsid w:val="00CF3EA0"/>
    <w:rsid w:val="00D1051F"/>
    <w:rsid w:val="00D21D1B"/>
    <w:rsid w:val="00D21DBE"/>
    <w:rsid w:val="00D24A4F"/>
    <w:rsid w:val="00D27F79"/>
    <w:rsid w:val="00D36F3C"/>
    <w:rsid w:val="00D55D6F"/>
    <w:rsid w:val="00D566C0"/>
    <w:rsid w:val="00D674D6"/>
    <w:rsid w:val="00D83014"/>
    <w:rsid w:val="00D9018D"/>
    <w:rsid w:val="00DA4DDF"/>
    <w:rsid w:val="00DA5742"/>
    <w:rsid w:val="00DB70B1"/>
    <w:rsid w:val="00DE107F"/>
    <w:rsid w:val="00DF3229"/>
    <w:rsid w:val="00E02F34"/>
    <w:rsid w:val="00E07484"/>
    <w:rsid w:val="00E12753"/>
    <w:rsid w:val="00E26473"/>
    <w:rsid w:val="00E336FE"/>
    <w:rsid w:val="00E36ADA"/>
    <w:rsid w:val="00E720EA"/>
    <w:rsid w:val="00EA03AD"/>
    <w:rsid w:val="00EC5DCC"/>
    <w:rsid w:val="00ED28F8"/>
    <w:rsid w:val="00ED43D1"/>
    <w:rsid w:val="00EE2E2A"/>
    <w:rsid w:val="00EE4017"/>
    <w:rsid w:val="00F06AAB"/>
    <w:rsid w:val="00F11900"/>
    <w:rsid w:val="00F15CA5"/>
    <w:rsid w:val="00F230F4"/>
    <w:rsid w:val="00F32EA7"/>
    <w:rsid w:val="00FA7FCA"/>
    <w:rsid w:val="00FB6A47"/>
    <w:rsid w:val="00FE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2BE560C3-B162-4F71-BD1B-ED79D766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3EC2"/>
    <w:rPr>
      <w:rFonts w:ascii="Calibri" w:eastAsia="Calibri" w:hAnsi="Calibri" w:cs="Times New Roman"/>
    </w:rPr>
  </w:style>
  <w:style w:type="paragraph" w:styleId="Nadpis5">
    <w:name w:val="heading 5"/>
    <w:basedOn w:val="Normln"/>
    <w:next w:val="Normln"/>
    <w:link w:val="Nadpis5Char"/>
    <w:qFormat/>
    <w:rsid w:val="00033EC2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33EC2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33EC2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033EC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033EC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033EC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033EC2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customStyle="1" w:styleId="Default">
    <w:name w:val="Default"/>
    <w:rsid w:val="00033EC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033EC2"/>
    <w:pPr>
      <w:spacing w:before="240" w:after="240" w:line="240" w:lineRule="auto"/>
      <w:jc w:val="both"/>
    </w:pPr>
  </w:style>
  <w:style w:type="paragraph" w:styleId="Zhlav">
    <w:name w:val="header"/>
    <w:basedOn w:val="Normln"/>
    <w:link w:val="ZhlavChar"/>
    <w:unhideWhenUsed/>
    <w:rsid w:val="00033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033EC2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2F6"/>
    <w:rPr>
      <w:rFonts w:ascii="Tahoma" w:eastAsia="Calibri" w:hAnsi="Tahoma" w:cs="Tahoma"/>
      <w:sz w:val="16"/>
      <w:szCs w:val="16"/>
    </w:rPr>
  </w:style>
  <w:style w:type="paragraph" w:customStyle="1" w:styleId="3">
    <w:name w:val="3"/>
    <w:basedOn w:val="Normln"/>
    <w:autoRedefine/>
    <w:rsid w:val="002715B4"/>
    <w:p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Times New Roman" w:eastAsia="Times New Roman" w:hAnsi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2715B4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715B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odsazen21">
    <w:name w:val="Základní text odsazený 21"/>
    <w:basedOn w:val="Normln"/>
    <w:rsid w:val="002715B4"/>
    <w:pPr>
      <w:suppressAutoHyphens/>
      <w:spacing w:after="0" w:line="240" w:lineRule="auto"/>
      <w:ind w:left="397" w:hanging="397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table" w:styleId="Mkatabulky">
    <w:name w:val="Table Grid"/>
    <w:basedOn w:val="Normlntabulka"/>
    <w:uiPriority w:val="59"/>
    <w:rsid w:val="0095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E65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2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c4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1CDC8-A25A-4331-9169-3637114DE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3095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kostelecka</dc:creator>
  <cp:lastModifiedBy>Janoušková Alena</cp:lastModifiedBy>
  <cp:revision>48</cp:revision>
  <cp:lastPrinted>2024-04-18T12:32:00Z</cp:lastPrinted>
  <dcterms:created xsi:type="dcterms:W3CDTF">2024-07-19T07:39:00Z</dcterms:created>
  <dcterms:modified xsi:type="dcterms:W3CDTF">2025-11-19T13:58:00Z</dcterms:modified>
</cp:coreProperties>
</file>